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120 vom 2. November 2016</w:t>
      </w:r>
    </w:p>
    <w:p>
      <w:r>
        <w:t>FR Kantonsgericht, 2016-11-02, FR</w:t>
      </w:r>
    </w:p>
    <w:p>
      <w:r>
        <w:rPr>
          <w:b/>
        </w:rPr>
        <w:t xml:space="preserve">Quelle: </w:t>
      </w:r>
      <w:r>
        <w:t>https://mcp.opencaselaw.ch/entscheid/fr_gerichte_101 2016 120</w:t>
      </w:r>
    </w:p>
    <w:p>
      <w:r>
        <w:t>FR: FR_GERICHTE 101 2016 120 du 2 novembre 2016</w:t>
      </w:r>
    </w:p>
    <w:p>
      <w:r>
        <w:t>IT: FR_GERICHTE 101 2016 120 del 2 novembre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au dernier état des conclusions soit supérieure à CHF 10'000.- (art. 308 al. 1 let. b et al. 2 CPC). Le délai d'appel en procédure sommaire – qui régit notamment les mesures provisionnelles (art. 248 let. d CPC) – est de 10 jours (art. 314 al. 1 CPC). En l'espèce, la décision attaquée a été notifiée au mandataire de l'appelante le 29 mars 2016. Déposé le 8 avril 2016, l'appel a dès lors été interjeté en temps utile. Il est dûment motivé et doté de conclusions. En outre, vu les conclusions de première instance et d'appel, la valeur litigieuse est largement supérieure à CHF 10'000.-, et même à CHF 30'000.-. Il s'ensuit la recevabilité de l'appel.</w:t>
      </w:r>
    </w:p>
    <w:p>
      <w:r>
        <w:t>Tribunal cantonal TC Page 3 de 6 b) La procédure sommaire (art. 252 ss CPC) s'applique aux causes de mesures provisionnelles (art. 248 let. d CPC), de même que la maxime des débats (art. 255 CPC a contrario) et le principe de disposition (art. 58 al. 1 CPC). c) La cognition de la Cour d'appel est pleine et entière, en fait comme en droit (art. 310 CPC). d) Selon l'art. 316 al. 1 CPC, la Cour d'appel peut ordonner des débats ou statuer sur pièces. En l'espèce, vu l'audition des parties en première instance, l'objet de l'appel comme le fait que tous les éléments nécessaires à son traitement se trouvent au dossier, il n'est pas nécessaire d'assigner une audience.</w:t>
      </w:r>
    </w:p>
    <w:p>
      <w:r>
        <w:rPr>
          <w:b/>
        </w:rPr>
        <w:t>E. 2</w:t>
      </w:r>
    </w:p>
    <w:p>
      <w:r>
        <w:t>a) A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obtenue au plus tard dans les quatre mois qui suivent l'achèvement des travaux (art. 839 al. 2 CC). Par le terme "obtenue", le texte légal indique que non seulement la réquisition, mais aussi l'inscription du droit doivent intervenir dans les quatre mois.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Les travaux effectués par l'entrepreneur en exécution de l'obligation de garantie prévue à l'art. 368 al. 2 CO n'entrent pas non plus en ligne de compte pour la computation du délai.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(cf. arrêt TF 5A_932/2014 du 16 avril 2015 consid. 3.3.1).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w:t>
      </w:r>
    </w:p>
    <w:p>
      <w:r>
        <w:t>Tribunal cantonal TC Page 4 de 6 chaque ouvrage. Toutefois, le Tribunal fédéral a admis qu'il y a un délai unique lorsque les ouvrages à réaliser sont fonctionnellement interdépendants et ont été construits d'un seul trait (cf. arrêt TF 5D_116/2014 du 13 octobre 2014 consid. 5.2.3). Conformément à l'art. 961 al. 3 CC, le juge autorise l'inscription provisoire si le droit allégué lui paraît exister.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(cf. arrêt TF 5A_932/2014 du 16 avril 2015 consid. 3.3.2).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(cf. arrêt TF 5D_116/2014 du 13 octobre 2014 consid. 5.3). b) Le premier juge a relevé dans sa décision que l’appelante alléguait les travaux suivants : "elle a travaillé les 8, 9 et 10 juillet 2015 sur le coffrage et bétonnage du muret de la sortie du parking AEG-H130, ainsi que le bétonnage des murets de la rampe piétons et la fin de creuse de la fouille pour la semelle filante (allégué 74) ; elle a effectué le 7 juillet 2015 le bétonnage de la grande rampe pour piétons du parking AEG et posé la fondation du muret du parking (allégué 75) ; elle a effectué le 6 juillet 2015 la fin du coffrage de la fondation du mur de soutènement de la sortie du garage AEG ainsi que la préparation du bétonnage pour le lendemain matin (allégué 76) ; elle a terminé le 3 juillet 2015, le coffrage de la rampe piéton du parking AEG (allégué 77)" Le premier juge s’est référé aux travaux susmentionnés pour effectuer la subsomption. Pour rejeter l’inscription provisoire d’une hypothèque légale, le premier juge s’est tout d’abord référé aux quatre protocoles de réception SIA des 6 janvier et 17 février 2015 (bordereau du 21 septembre 2015 pièces 1 à 4), signés par l’appelante, selon lesquels les ouvrages avaient été considérés comme reçus et dans lesquels seuls des défauts mineurs avaient été constatés. Il a considéré qu’en produisant ces protocoles, les intimées avaient rendu vraisemblable que les travaux effectués postérieurement n’étaient que d’importance mineure. Or, les notions de réception des travaux et d’achèvement de ceux-ci ne sont pas identiques (cf. arrêt TF 5A_208/2010 du 17 juin 2010 consid. 5). Les intimées reconnaissent d’ailleurs que dans les protocoles de réception il n’est fait état que de travaux mineurs (cf. réponse du 9 mai 2016 allégué Ad. 2.3). Les travaux effectués postérieurement à la réception n’y figurent cependant pas, ce qui semble indiquer que ceux-ci n’étaient pas de simples travaux de finition ou de garantie, qui auraient alors certainement été référencés dans les protocoles. Les intimées invoquent certes que les travaux allégués par l’appelante ont été intitulés de manière inexacte par cette dernière mais sans les rendre totalement invraisemblables ou impossibles. Au stade des mesures provisionnelles et sous l’angle de la vraisemblance, ce sont les travaux, tels qu’allégués par l’appelante, qui seront retenus. Le fait que les travaux soient relativement espacés dans le temps ne suffit pas à lui seul à les considérer comme des travaux d’ordre mineur ou des retouches, puisque seule la qualification de ces travaux est déterminante. Ils doivent être indispensables. Enfin, contrairement à ce qu’a estimé le premier Juge, il ne saurait être reproché à l’appelante de ne pas avoir allégué que ces</w:t>
      </w:r>
    </w:p>
    <w:p>
      <w:r>
        <w:t>Tribunal cantonal TC Page 5 de 6 travaux étaient nécessaires pour des raisons de sécurité puisque cela ne correspond qu’à une possibilité parmi d’autres de le démontrer. c) La Cour relève que des travaux de bétonnage, de décoffrage ont notamment été effectués après la remise de l’ouvrage. Au stade des mesures provisionnelles et au degré de la simple vraisemblance, ces travaux paraissent indispensables à l’achèvement des ouvrages et ne sauraient être considérés comme des travaux de finition. Déterminer la nature et l’importance exacte de ces travaux devra faire l’objet d’une instruction au fond (cf. arrêt TF 5A_208/2010 du 17 juin 2010 consid. 5). Ainsi, ces travaux sont à prendre en considération pour vérifier si le délai de 4 mois pour requérir l’inscription de l’hypothèque légale a été respecté. Comme il a déjà été relevé ci-dessus, tous les travaux retenus ont été effectués après le 24 mars 2015. La requête du 24 juillet 2015 a donc été déposée dans le délai. d) Les intimées ont contesté en bloc les montants requis par l’appelante, sans en donner les raisons. Ces montants devront faire l’objet d’une analyse détaillée dans le cadre de la procédure au fond. Au stade des mesures provisionnelles, les explications apportées par l’appelante, ainsi que les pièces qu’elle a produites, suffisent. Il a été rendu vraisemblable que les montants requis étaient effectivement dus. e) En résumé, la Cour retient que l’appelante a rendu vraisemblable que la requête d’inscription du 24 juillet 2015 a été déposée dans le délai de 4 mois dès l’achèvement des travaux et que les montants requis étaient effectivement dus. Dans ces conditions, l’inscription provisoire de l’hypothèque légale des artisans et entrepreneurs ordonnée le 24 juillet 2015 est confirmée.</w:t>
      </w:r>
    </w:p>
    <w:p>
      <w:r>
        <w:rPr>
          <w:b/>
        </w:rPr>
        <w:t>E. 3</w:t>
      </w:r>
    </w:p>
    <w:p>
      <w:r>
        <w:t>Les frais de première instance sont réservés. II. a) Les frais de la procédure d’appel sont mis à la charge de C.________, et de B.________, solidairement entre elles. b) Les frais judicaires sont fixés à CHF 5'000.-. Ils seront prélevés sur l’avance effectuée par A.________ SA qui aura droit à son remboursement par C.________ et B.________. c) Les dépens de A.________ SA sont fixés à CHF 2'599.45, TVA par CHF 192.55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novembre 2016/cfa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